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63790991"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I AUKCJI</w:t>
      </w:r>
    </w:p>
    <w:p w14:paraId="17A79823" w14:textId="1ACCAB45" w:rsidR="00E44522" w:rsidRPr="00903A0D" w:rsidRDefault="00903A0D" w:rsidP="00174E42">
      <w:pPr>
        <w:pStyle w:val="Tekstpodstawowywcity3"/>
        <w:ind w:left="790"/>
        <w:jc w:val="both"/>
        <w:rPr>
          <w:rFonts w:ascii="Calibri" w:hAnsi="Calibri"/>
          <w:sz w:val="22"/>
          <w:szCs w:val="22"/>
        </w:rPr>
      </w:pPr>
      <w:r w:rsidRPr="00903A0D">
        <w:rPr>
          <w:rFonts w:ascii="Calibri" w:hAnsi="Calibri" w:cstheme="minorHAnsi"/>
          <w:b/>
          <w:bCs/>
          <w:sz w:val="22"/>
          <w:szCs w:val="22"/>
        </w:rPr>
        <w:t xml:space="preserve">na sprzedaż w trybie sprzedaży z wolnej ręki </w:t>
      </w:r>
      <w:r w:rsidR="00755E17">
        <w:rPr>
          <w:rFonts w:ascii="Calibri" w:hAnsi="Calibri" w:cstheme="minorHAnsi"/>
          <w:b/>
          <w:bCs/>
          <w:sz w:val="22"/>
          <w:szCs w:val="22"/>
        </w:rPr>
        <w:t xml:space="preserve">i aukcji </w:t>
      </w:r>
      <w:r w:rsidR="00174E42" w:rsidRPr="00174E42">
        <w:rPr>
          <w:rFonts w:ascii="Calibri" w:hAnsi="Calibri" w:cstheme="minorHAnsi"/>
          <w:b/>
          <w:bCs/>
          <w:sz w:val="22"/>
          <w:szCs w:val="22"/>
        </w:rPr>
        <w:t>udziału w wysokości 1/6 prawa własności nieruchomości lokalowej nr 44 o powierzchni 44,70 m2, usytuowanej w budynku mieszkalnym wielorodzinnym  posadowionym przy ul. Żytniej 79 w Warszawie, dla której to nieruchomości Sąd Rejonowy dla Warszawy-Mokotowa w Warszawie, X Wydział Ksiąg Wieczystych prowadzi księgę wieczystą o numerze WA4M/00066179/0</w:t>
      </w:r>
    </w:p>
    <w:p w14:paraId="3FB22F2B"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78C8E449"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174E42">
        <w:rPr>
          <w:rFonts w:ascii="Calibri" w:hAnsi="Calibri"/>
          <w:sz w:val="22"/>
          <w:szCs w:val="22"/>
        </w:rPr>
        <w:t>Stanisława Szczepańskiego</w:t>
      </w:r>
      <w:r w:rsidR="00963DD5" w:rsidRPr="00903A0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75737D" w:rsidRPr="00903A0D">
        <w:rPr>
          <w:rFonts w:ascii="Calibri" w:hAnsi="Calibri"/>
          <w:sz w:val="22"/>
          <w:szCs w:val="22"/>
        </w:rPr>
        <w:t>(konkursu ofert</w:t>
      </w:r>
      <w:r w:rsidR="00F66BB2">
        <w:rPr>
          <w:rFonts w:ascii="Calibri" w:hAnsi="Calibri"/>
          <w:sz w:val="22"/>
          <w:szCs w:val="22"/>
        </w:rPr>
        <w:t>)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494F96F7" w14:textId="7478AC66" w:rsidR="00773BB7" w:rsidRPr="00903A0D" w:rsidRDefault="00773BB7" w:rsidP="00773BB7">
      <w:pPr>
        <w:numPr>
          <w:ilvl w:val="0"/>
          <w:numId w:val="5"/>
        </w:numPr>
        <w:spacing w:line="360" w:lineRule="auto"/>
        <w:jc w:val="both"/>
        <w:rPr>
          <w:rFonts w:ascii="Calibri" w:hAnsi="Calibri"/>
          <w:sz w:val="22"/>
          <w:szCs w:val="22"/>
        </w:rPr>
      </w:pPr>
      <w:r w:rsidRPr="00903A0D">
        <w:rPr>
          <w:rFonts w:ascii="Calibri" w:hAnsi="Calibri"/>
          <w:sz w:val="22"/>
          <w:szCs w:val="22"/>
        </w:rPr>
        <w:t xml:space="preserve">syndyku, należy przez to rozumieć syndyka masy upadłości </w:t>
      </w:r>
      <w:r w:rsidR="00174E42">
        <w:rPr>
          <w:rFonts w:ascii="Calibri" w:hAnsi="Calibri"/>
          <w:sz w:val="22"/>
          <w:szCs w:val="22"/>
        </w:rPr>
        <w:t>Stanisława Szczepańskiego</w:t>
      </w:r>
      <w:r w:rsidRPr="00903A0D">
        <w:rPr>
          <w:rFonts w:ascii="Calibri" w:hAnsi="Calibri"/>
          <w:sz w:val="22"/>
          <w:szCs w:val="22"/>
        </w:rPr>
        <w:t xml:space="preserve"> w upadłości;</w:t>
      </w:r>
    </w:p>
    <w:p w14:paraId="4F3299AE" w14:textId="02BC8E83" w:rsidR="006A7F9F" w:rsidRPr="00903A0D" w:rsidRDefault="00773BB7" w:rsidP="006A7F9F">
      <w:pPr>
        <w:numPr>
          <w:ilvl w:val="0"/>
          <w:numId w:val="5"/>
        </w:numPr>
        <w:spacing w:line="360" w:lineRule="auto"/>
        <w:jc w:val="both"/>
        <w:rPr>
          <w:rFonts w:ascii="Calibri" w:hAnsi="Calibri"/>
          <w:sz w:val="22"/>
          <w:szCs w:val="22"/>
        </w:rPr>
      </w:pPr>
      <w:r w:rsidRPr="00903A0D">
        <w:rPr>
          <w:rFonts w:ascii="Calibri" w:hAnsi="Calibri"/>
          <w:sz w:val="22"/>
          <w:szCs w:val="22"/>
        </w:rPr>
        <w:t>Sędzim-</w:t>
      </w:r>
      <w:r w:rsidR="00755E17">
        <w:rPr>
          <w:rFonts w:ascii="Calibri" w:hAnsi="Calibri"/>
          <w:sz w:val="22"/>
          <w:szCs w:val="22"/>
        </w:rPr>
        <w:t>k</w:t>
      </w:r>
      <w:r w:rsidRPr="00903A0D">
        <w:rPr>
          <w:rFonts w:ascii="Calibri" w:hAnsi="Calibri"/>
          <w:sz w:val="22"/>
          <w:szCs w:val="22"/>
        </w:rPr>
        <w:t>omisarzu, należy przez to rozumieć Sędziego-</w:t>
      </w:r>
      <w:r w:rsidR="00755E17">
        <w:rPr>
          <w:rFonts w:ascii="Calibri" w:hAnsi="Calibri"/>
          <w:sz w:val="22"/>
          <w:szCs w:val="22"/>
        </w:rPr>
        <w:t>k</w:t>
      </w:r>
      <w:r w:rsidRPr="00903A0D">
        <w:rPr>
          <w:rFonts w:ascii="Calibri" w:hAnsi="Calibri"/>
          <w:sz w:val="22"/>
          <w:szCs w:val="22"/>
        </w:rPr>
        <w:t xml:space="preserve">omisarza postępowania upadłościowego </w:t>
      </w:r>
      <w:r w:rsidR="00174E42">
        <w:rPr>
          <w:rFonts w:ascii="Calibri" w:hAnsi="Calibri"/>
          <w:sz w:val="22"/>
          <w:szCs w:val="22"/>
        </w:rPr>
        <w:t>Stanisława Szczepańskiego</w:t>
      </w:r>
      <w:r w:rsidR="00903A0D" w:rsidRPr="00903A0D">
        <w:rPr>
          <w:rFonts w:ascii="Calibri" w:hAnsi="Calibri"/>
          <w:sz w:val="22"/>
          <w:szCs w:val="22"/>
        </w:rPr>
        <w:t xml:space="preserve"> </w:t>
      </w:r>
      <w:r w:rsidRPr="00903A0D">
        <w:rPr>
          <w:rFonts w:ascii="Calibri" w:hAnsi="Calibri"/>
          <w:sz w:val="22"/>
          <w:szCs w:val="22"/>
        </w:rPr>
        <w:t>w upadłości;</w:t>
      </w:r>
    </w:p>
    <w:p w14:paraId="609DF5E6" w14:textId="2037A163" w:rsidR="00903A0D" w:rsidRPr="00174E42" w:rsidRDefault="00666BED" w:rsidP="00174E42">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 xml:space="preserve">Przedmiotem sprzedaży </w:t>
      </w:r>
      <w:r w:rsidR="00A64411" w:rsidRPr="00903A0D">
        <w:rPr>
          <w:rFonts w:ascii="Calibri" w:hAnsi="Calibri"/>
          <w:color w:val="000000"/>
          <w:sz w:val="22"/>
          <w:szCs w:val="22"/>
        </w:rPr>
        <w:t>jest</w:t>
      </w:r>
      <w:r w:rsidR="00174E42">
        <w:rPr>
          <w:rFonts w:ascii="Calibri" w:hAnsi="Calibri"/>
          <w:color w:val="000000"/>
          <w:sz w:val="22"/>
          <w:szCs w:val="22"/>
        </w:rPr>
        <w:t xml:space="preserve"> </w:t>
      </w:r>
      <w:r w:rsidR="00174E42" w:rsidRPr="00174E42">
        <w:rPr>
          <w:rFonts w:ascii="Calibri" w:hAnsi="Calibri"/>
          <w:color w:val="000000"/>
          <w:sz w:val="22"/>
          <w:szCs w:val="22"/>
        </w:rPr>
        <w:t>udział w wysokości 1/6 prawa własności nieruchomości lokalowej nr 44 o powierzchni 44,70 m2, usytuowanej w budynku mieszkalnym wielorodzinnym  posadowionym przy ul. Żytniej 79 w Warszawie, dla której to nieruchomości Sąd Rejonowy dla Warszawy-Mokotowa w Warszawie, X Wydział Ksiąg Wieczystych prowadzi księgę wieczystą o numerze WA4M/00066179/0</w:t>
      </w:r>
      <w:r w:rsidR="00174E42">
        <w:rPr>
          <w:rFonts w:ascii="Calibri" w:hAnsi="Calibri"/>
          <w:color w:val="000000"/>
          <w:sz w:val="22"/>
          <w:szCs w:val="22"/>
        </w:rPr>
        <w:t xml:space="preserve"> </w:t>
      </w:r>
      <w:r w:rsidR="00903A0D" w:rsidRPr="00174E42">
        <w:rPr>
          <w:rFonts w:asciiTheme="minorHAnsi" w:hAnsiTheme="minorHAnsi" w:cstheme="minorHAnsi"/>
          <w:color w:val="000000" w:themeColor="text1"/>
          <w:sz w:val="22"/>
          <w:szCs w:val="22"/>
        </w:rPr>
        <w:t xml:space="preserve"> (dalej zwany jako „Udział”).</w:t>
      </w:r>
    </w:p>
    <w:p w14:paraId="4AC739BE" w14:textId="065E2CA6" w:rsidR="00903A0D" w:rsidRPr="00903A0D" w:rsidRDefault="00903A0D" w:rsidP="00903A0D">
      <w:pPr>
        <w:pStyle w:val="Akapitzlist"/>
        <w:widowControl w:val="0"/>
        <w:numPr>
          <w:ilvl w:val="0"/>
          <w:numId w:val="27"/>
        </w:numPr>
        <w:suppressAutoHyphens/>
        <w:spacing w:line="360" w:lineRule="auto"/>
        <w:contextualSpacing/>
        <w:jc w:val="both"/>
        <w:rPr>
          <w:rFonts w:asciiTheme="minorHAnsi" w:hAnsiTheme="minorHAnsi" w:cstheme="minorHAnsi"/>
          <w:sz w:val="22"/>
          <w:szCs w:val="22"/>
        </w:rPr>
      </w:pPr>
      <w:r w:rsidRPr="00903A0D">
        <w:rPr>
          <w:rFonts w:asciiTheme="minorHAnsi" w:hAnsiTheme="minorHAnsi" w:cstheme="minorHAnsi"/>
          <w:sz w:val="22"/>
          <w:szCs w:val="22"/>
        </w:rPr>
        <w:t xml:space="preserve">Operat szacunkowy sporządzony przez biegłego sądowego, rzeczoznawcę majątkowego Małgorzatę </w:t>
      </w:r>
      <w:proofErr w:type="spellStart"/>
      <w:r w:rsidRPr="00903A0D">
        <w:rPr>
          <w:rFonts w:asciiTheme="minorHAnsi" w:hAnsiTheme="minorHAnsi" w:cstheme="minorHAnsi"/>
          <w:sz w:val="22"/>
          <w:szCs w:val="22"/>
        </w:rPr>
        <w:t>Dzikoń</w:t>
      </w:r>
      <w:proofErr w:type="spellEnd"/>
      <w:r w:rsidRPr="00903A0D">
        <w:rPr>
          <w:rFonts w:asciiTheme="minorHAnsi" w:hAnsiTheme="minorHAnsi" w:cstheme="minorHAnsi"/>
          <w:sz w:val="22"/>
          <w:szCs w:val="22"/>
        </w:rPr>
        <w:t xml:space="preserve"> z dnia </w:t>
      </w:r>
      <w:r w:rsidR="00174E42">
        <w:rPr>
          <w:rFonts w:asciiTheme="minorHAnsi" w:hAnsiTheme="minorHAnsi" w:cstheme="minorHAnsi"/>
          <w:sz w:val="22"/>
          <w:szCs w:val="22"/>
        </w:rPr>
        <w:t xml:space="preserve">8 maja </w:t>
      </w:r>
      <w:r w:rsidRPr="00903A0D">
        <w:rPr>
          <w:rFonts w:asciiTheme="minorHAnsi" w:hAnsiTheme="minorHAnsi" w:cstheme="minorHAnsi"/>
          <w:sz w:val="22"/>
          <w:szCs w:val="22"/>
        </w:rPr>
        <w:t xml:space="preserve"> 2020 roku jest udostępniony do wgl</w:t>
      </w:r>
      <w:r w:rsidRPr="00903A0D">
        <w:rPr>
          <w:rFonts w:asciiTheme="minorHAnsi" w:eastAsia="TimesNewRoman" w:hAnsiTheme="minorHAnsi" w:cstheme="minorHAnsi"/>
          <w:sz w:val="22"/>
          <w:szCs w:val="22"/>
        </w:rPr>
        <w:t>ą</w:t>
      </w:r>
      <w:r w:rsidRPr="00903A0D">
        <w:rPr>
          <w:rFonts w:asciiTheme="minorHAnsi" w:hAnsiTheme="minorHAnsi" w:cstheme="minorHAnsi"/>
          <w:sz w:val="22"/>
          <w:szCs w:val="22"/>
        </w:rPr>
        <w:t xml:space="preserve">du w Kancelarii syndyka Marcina Gałązki – ul. Marszałkowska 9/15 lok. 53  w Warszawie w godz. 11.00 – 15.00 oraz w aktach sprawy sygn. akt: XIX </w:t>
      </w:r>
      <w:proofErr w:type="spellStart"/>
      <w:r w:rsidRPr="00903A0D">
        <w:rPr>
          <w:rFonts w:asciiTheme="minorHAnsi" w:hAnsiTheme="minorHAnsi" w:cstheme="minorHAnsi"/>
          <w:sz w:val="22"/>
          <w:szCs w:val="22"/>
        </w:rPr>
        <w:t>G</w:t>
      </w:r>
      <w:r w:rsidR="00755E17">
        <w:rPr>
          <w:rFonts w:asciiTheme="minorHAnsi" w:hAnsiTheme="minorHAnsi" w:cstheme="minorHAnsi"/>
          <w:sz w:val="22"/>
          <w:szCs w:val="22"/>
        </w:rPr>
        <w:t>U</w:t>
      </w:r>
      <w:r w:rsidRPr="00903A0D">
        <w:rPr>
          <w:rFonts w:asciiTheme="minorHAnsi" w:hAnsiTheme="minorHAnsi" w:cstheme="minorHAnsi"/>
          <w:sz w:val="22"/>
          <w:szCs w:val="22"/>
        </w:rPr>
        <w:t>p</w:t>
      </w:r>
      <w:proofErr w:type="spellEnd"/>
      <w:r w:rsidRPr="00903A0D">
        <w:rPr>
          <w:rFonts w:asciiTheme="minorHAnsi" w:hAnsiTheme="minorHAnsi" w:cstheme="minorHAnsi"/>
          <w:sz w:val="22"/>
          <w:szCs w:val="22"/>
        </w:rPr>
        <w:t xml:space="preserve"> </w:t>
      </w:r>
      <w:r w:rsidR="00174E42">
        <w:rPr>
          <w:rFonts w:asciiTheme="minorHAnsi" w:hAnsiTheme="minorHAnsi" w:cstheme="minorHAnsi"/>
          <w:sz w:val="22"/>
          <w:szCs w:val="22"/>
        </w:rPr>
        <w:t>78</w:t>
      </w:r>
      <w:r w:rsidRPr="00903A0D">
        <w:rPr>
          <w:rFonts w:asciiTheme="minorHAnsi" w:hAnsiTheme="minorHAnsi" w:cstheme="minorHAnsi"/>
          <w:sz w:val="22"/>
          <w:szCs w:val="22"/>
        </w:rPr>
        <w:t>/</w:t>
      </w:r>
      <w:r w:rsidR="00174E42">
        <w:rPr>
          <w:rFonts w:asciiTheme="minorHAnsi" w:hAnsiTheme="minorHAnsi" w:cstheme="minorHAnsi"/>
          <w:sz w:val="22"/>
          <w:szCs w:val="22"/>
        </w:rPr>
        <w:t>20</w:t>
      </w:r>
      <w:r w:rsidRPr="00903A0D">
        <w:rPr>
          <w:rFonts w:asciiTheme="minorHAnsi" w:hAnsiTheme="minorHAnsi" w:cstheme="minorHAnsi"/>
          <w:sz w:val="22"/>
          <w:szCs w:val="22"/>
        </w:rPr>
        <w:t xml:space="preserve">  w czytelni akt (parter) Sądu Rejonowego dla m. st. Warszawy w Warszawie, ul. Czerniakowska 100 A, 00-454 Warszawa. </w:t>
      </w:r>
    </w:p>
    <w:p w14:paraId="23269695" w14:textId="52EC86E8"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ę ze stanem prawnym i fizycznym</w:t>
      </w:r>
      <w:r w:rsidR="003166C9" w:rsidRPr="00903A0D">
        <w:rPr>
          <w:rFonts w:ascii="Calibri" w:hAnsi="Calibri"/>
          <w:color w:val="000000"/>
          <w:sz w:val="22"/>
          <w:szCs w:val="22"/>
        </w:rPr>
        <w:t xml:space="preserve">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23AC1927" w14:textId="1F0AC0D9" w:rsidR="00773BB7" w:rsidRPr="00903A0D" w:rsidRDefault="000F20E1"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Kupujący przystępując do konkursu ofert</w:t>
      </w:r>
      <w:r w:rsidR="00F66BB2">
        <w:rPr>
          <w:rFonts w:ascii="Calibri" w:hAnsi="Calibri"/>
          <w:color w:val="000000"/>
          <w:sz w:val="22"/>
          <w:szCs w:val="22"/>
        </w:rPr>
        <w:t>/aukcji</w:t>
      </w:r>
      <w:r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1C4DAD62" w14:textId="77777777" w:rsidR="00666BED" w:rsidRPr="00903A0D" w:rsidRDefault="00666BED" w:rsidP="00666BED">
      <w:pPr>
        <w:spacing w:line="360" w:lineRule="auto"/>
        <w:ind w:left="18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lastRenderedPageBreak/>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5634B7FD"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Do sprzedaży w trybie sprzedaży z wolnej ręki</w:t>
      </w:r>
      <w:r w:rsidR="00F66BB2">
        <w:rPr>
          <w:rFonts w:ascii="Calibri" w:hAnsi="Calibri"/>
          <w:sz w:val="22"/>
          <w:szCs w:val="22"/>
        </w:rPr>
        <w:t>/aukcji</w:t>
      </w:r>
      <w:r w:rsidRPr="00903A0D">
        <w:rPr>
          <w:rFonts w:ascii="Calibri" w:hAnsi="Calibri"/>
          <w:sz w:val="22"/>
          <w:szCs w:val="22"/>
        </w:rPr>
        <w:t xml:space="preserve"> </w:t>
      </w:r>
      <w:r w:rsidR="00F66BB2">
        <w:rPr>
          <w:rFonts w:ascii="Calibri" w:hAnsi="Calibri"/>
          <w:sz w:val="22"/>
          <w:szCs w:val="22"/>
        </w:rPr>
        <w:t xml:space="preserve">prowadzonej </w:t>
      </w:r>
      <w:r w:rsidRPr="00903A0D">
        <w:rPr>
          <w:rFonts w:ascii="Calibri" w:hAnsi="Calibri"/>
          <w:sz w:val="22"/>
          <w:szCs w:val="22"/>
        </w:rPr>
        <w:t>przez syndyka mogą przystąpić osoby fizyczne i prawne oraz jednostki organizacyjne nieposiadające osobowości prawnej utworzone zgodnie z przepisami prawa i którym odrębne przepisy przyznają zdolność prawną.</w:t>
      </w:r>
    </w:p>
    <w:p w14:paraId="2F91F20A" w14:textId="5BDEDC11"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0CFF2C53" w14:textId="412A564C" w:rsidR="00771ED5" w:rsidRPr="00903A0D" w:rsidRDefault="00771ED5" w:rsidP="00771ED5">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sidR="00903A0D">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2BE97B7C"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C2468F">
        <w:rPr>
          <w:rFonts w:ascii="Calibri" w:hAnsi="Calibri"/>
          <w:sz w:val="22"/>
          <w:szCs w:val="22"/>
        </w:rPr>
        <w:t xml:space="preserve"> </w:t>
      </w:r>
      <w:r w:rsidR="00140969" w:rsidRPr="00903A0D">
        <w:rPr>
          <w:rFonts w:ascii="Calibri" w:hAnsi="Calibri"/>
          <w:sz w:val="22"/>
          <w:szCs w:val="22"/>
        </w:rPr>
        <w:t xml:space="preserve"> oraz określonych przez Sędziego</w:t>
      </w:r>
      <w:r w:rsidR="00903A0D">
        <w:rPr>
          <w:rFonts w:ascii="Calibri" w:hAnsi="Calibri"/>
          <w:sz w:val="22"/>
          <w:szCs w:val="22"/>
        </w:rPr>
        <w:t>-k</w:t>
      </w:r>
      <w:r w:rsidR="00140969" w:rsidRPr="00903A0D">
        <w:rPr>
          <w:rFonts w:ascii="Calibri" w:hAnsi="Calibri"/>
          <w:sz w:val="22"/>
          <w:szCs w:val="22"/>
        </w:rPr>
        <w:t>omisarza.</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0CF69338"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174E42">
        <w:rPr>
          <w:rFonts w:asciiTheme="minorHAnsi" w:hAnsiTheme="minorHAnsi" w:cstheme="minorHAnsi"/>
          <w:sz w:val="22"/>
          <w:szCs w:val="22"/>
        </w:rPr>
        <w:t>Udziału</w:t>
      </w:r>
      <w:r w:rsidRPr="008B5208">
        <w:rPr>
          <w:rFonts w:asciiTheme="minorHAnsi" w:hAnsiTheme="minorHAnsi" w:cstheme="minorHAnsi"/>
          <w:sz w:val="22"/>
          <w:szCs w:val="22"/>
        </w:rPr>
        <w:t xml:space="preserve"> wynosi nie mniej niż </w:t>
      </w:r>
      <w:r w:rsidR="00791B74">
        <w:rPr>
          <w:rFonts w:asciiTheme="minorHAnsi" w:hAnsiTheme="minorHAnsi" w:cstheme="minorHAnsi"/>
          <w:sz w:val="22"/>
          <w:szCs w:val="22"/>
        </w:rPr>
        <w:t>50.400</w:t>
      </w:r>
      <w:r w:rsidR="00174E42">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791B74">
        <w:rPr>
          <w:rFonts w:asciiTheme="minorHAnsi" w:hAnsiTheme="minorHAnsi" w:cstheme="minorHAnsi"/>
          <w:sz w:val="22"/>
          <w:szCs w:val="22"/>
        </w:rPr>
        <w:t>pięćdziesiąt tysięcy czterysta</w:t>
      </w:r>
      <w:r w:rsidRPr="008B5208">
        <w:rPr>
          <w:rFonts w:asciiTheme="minorHAnsi" w:hAnsiTheme="minorHAnsi" w:cstheme="minorHAnsi"/>
          <w:sz w:val="22"/>
          <w:szCs w:val="22"/>
        </w:rPr>
        <w:t xml:space="preserve"> 00/100 złotych)</w:t>
      </w:r>
      <w:r w:rsidR="00174E42">
        <w:rPr>
          <w:rFonts w:asciiTheme="minorHAnsi" w:hAnsiTheme="minorHAnsi" w:cstheme="minorHAnsi"/>
          <w:sz w:val="22"/>
          <w:szCs w:val="22"/>
        </w:rPr>
        <w:t>.</w:t>
      </w:r>
    </w:p>
    <w:p w14:paraId="7860B9DF" w14:textId="6B39CC9E"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p>
    <w:p w14:paraId="31C7962D" w14:textId="4B168BA3"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21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6A362747"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174E42">
        <w:rPr>
          <w:rFonts w:asciiTheme="minorHAnsi" w:eastAsia="TimesNewRoman" w:hAnsiTheme="minorHAnsi" w:cstheme="minorHAnsi"/>
          <w:sz w:val="22"/>
          <w:szCs w:val="22"/>
        </w:rPr>
        <w:t>78</w:t>
      </w:r>
      <w:r w:rsidRPr="008B5208">
        <w:rPr>
          <w:rFonts w:asciiTheme="minorHAnsi" w:eastAsia="TimesNewRoman" w:hAnsiTheme="minorHAnsi" w:cstheme="minorHAnsi"/>
          <w:sz w:val="22"/>
          <w:szCs w:val="22"/>
        </w:rPr>
        <w:t>/</w:t>
      </w:r>
      <w:r w:rsidR="00174E42">
        <w:rPr>
          <w:rFonts w:asciiTheme="minorHAnsi" w:eastAsia="TimesNewRoman" w:hAnsiTheme="minorHAnsi" w:cstheme="minorHAnsi"/>
          <w:sz w:val="22"/>
          <w:szCs w:val="22"/>
        </w:rPr>
        <w:t>20</w:t>
      </w:r>
      <w:r w:rsidRPr="008B5208">
        <w:rPr>
          <w:rFonts w:asciiTheme="minorHAnsi" w:eastAsia="TimesNewRoman" w:hAnsiTheme="minorHAnsi" w:cstheme="minorHAnsi"/>
          <w:sz w:val="22"/>
          <w:szCs w:val="22"/>
        </w:rPr>
        <w:t xml:space="preserve"> oraz </w:t>
      </w:r>
      <w:r w:rsidRPr="008B5208">
        <w:rPr>
          <w:rFonts w:asciiTheme="minorHAnsi" w:eastAsia="TimesNewRoman" w:hAnsiTheme="minorHAnsi" w:cstheme="minorHAnsi"/>
          <w:sz w:val="22"/>
          <w:szCs w:val="22"/>
        </w:rPr>
        <w:lastRenderedPageBreak/>
        <w:t xml:space="preserve">dopiskiem: „NIE OTWIERAĆ – OFERTA </w:t>
      </w:r>
      <w:r w:rsidRPr="008B5208">
        <w:rPr>
          <w:rFonts w:asciiTheme="minorHAnsi" w:hAnsiTheme="minorHAnsi" w:cstheme="minorHAnsi"/>
          <w:sz w:val="22"/>
          <w:szCs w:val="22"/>
        </w:rPr>
        <w:t xml:space="preserve">w postępowaniu upadłościowym </w:t>
      </w:r>
      <w:r w:rsidR="00174E42">
        <w:rPr>
          <w:rFonts w:asciiTheme="minorHAnsi" w:hAnsiTheme="minorHAnsi" w:cstheme="minorHAnsi"/>
          <w:sz w:val="22"/>
          <w:szCs w:val="22"/>
        </w:rPr>
        <w:t>Stanisława Szczepańskiego</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kopia aktualnego dowodu osobistego.</w:t>
      </w:r>
    </w:p>
    <w:p w14:paraId="42A021F4" w14:textId="728E5BF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składniki mająt</w:t>
      </w:r>
      <w:r>
        <w:rPr>
          <w:rFonts w:asciiTheme="minorHAnsi" w:eastAsia="TimesNewRoman" w:hAnsiTheme="minorHAnsi" w:cstheme="minorHAnsi"/>
          <w:sz w:val="22"/>
          <w:szCs w:val="22"/>
        </w:rPr>
        <w:t>ku masy upadłości</w:t>
      </w:r>
      <w:r w:rsidRPr="008B5208">
        <w:rPr>
          <w:rFonts w:asciiTheme="minorHAnsi" w:eastAsia="TimesNewRoman" w:hAnsiTheme="minorHAnsi" w:cstheme="minorHAnsi"/>
          <w:sz w:val="22"/>
          <w:szCs w:val="22"/>
        </w:rPr>
        <w:t xml:space="preserve"> będące przedmiotem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wyrażona kwotowo i 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Zobowiązanie nabywcy do pokrycia kosztów, podatków i opłat związanych z zawarciem umowy w formie aktu notarialnego.</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 (w brzmieniu obowiązującym od dnia 1 stycznia 2016 roku).</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23D0742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niniejszych warunków;</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w:t>
      </w:r>
      <w:r w:rsidRPr="008B5208">
        <w:rPr>
          <w:rFonts w:asciiTheme="minorHAnsi" w:eastAsia="TimesNewRoman" w:hAnsiTheme="minorHAnsi" w:cstheme="minorHAnsi"/>
          <w:sz w:val="22"/>
          <w:szCs w:val="22"/>
        </w:rPr>
        <w:lastRenderedPageBreak/>
        <w:t xml:space="preserve">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7A1720EB"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791B74">
        <w:rPr>
          <w:rFonts w:asciiTheme="minorHAnsi" w:eastAsia="TimesNewRoman" w:hAnsiTheme="minorHAnsi" w:cstheme="minorHAnsi"/>
          <w:sz w:val="22"/>
          <w:szCs w:val="22"/>
        </w:rPr>
        <w:t>5.000</w:t>
      </w:r>
      <w:r w:rsidR="00AF2C94">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791B74">
        <w:rPr>
          <w:rFonts w:asciiTheme="minorHAnsi" w:eastAsia="TimesNewRoman" w:hAnsiTheme="minorHAnsi" w:cstheme="minorHAnsi"/>
          <w:sz w:val="22"/>
          <w:szCs w:val="22"/>
        </w:rPr>
        <w:t>pięć</w:t>
      </w:r>
      <w:r w:rsidR="00AF2C94">
        <w:rPr>
          <w:rFonts w:asciiTheme="minorHAnsi" w:eastAsia="TimesNewRoman" w:hAnsiTheme="minorHAnsi" w:cstheme="minorHAnsi"/>
          <w:sz w:val="22"/>
          <w:szCs w:val="22"/>
        </w:rPr>
        <w:t xml:space="preserve"> tysięcy </w:t>
      </w:r>
      <w:r w:rsidRPr="00AF2C94">
        <w:rPr>
          <w:rFonts w:asciiTheme="minorHAnsi" w:eastAsia="TimesNewRoman" w:hAnsiTheme="minorHAnsi" w:cstheme="minorHAnsi"/>
          <w:sz w:val="22"/>
          <w:szCs w:val="22"/>
        </w:rPr>
        <w:t>00/100 złotych).</w:t>
      </w:r>
    </w:p>
    <w:p w14:paraId="22D21E45" w14:textId="34007B59" w:rsidR="00903A0D" w:rsidRPr="008B5208" w:rsidRDefault="00903A0D" w:rsidP="00903A0D">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Wadium należy wpłacić przelewem na rachunek bankowy masy upadłości </w:t>
      </w:r>
      <w:r w:rsidR="00AF2C94">
        <w:rPr>
          <w:rFonts w:asciiTheme="minorHAnsi" w:eastAsia="TimesNewRoman" w:hAnsiTheme="minorHAnsi" w:cstheme="minorHAnsi"/>
          <w:sz w:val="22"/>
          <w:szCs w:val="22"/>
        </w:rPr>
        <w:t>Stanisława Szczepańskiego</w:t>
      </w:r>
      <w:r w:rsidRPr="008B5208">
        <w:rPr>
          <w:rFonts w:asciiTheme="minorHAnsi" w:eastAsia="TimesNewRoman" w:hAnsiTheme="minorHAnsi" w:cstheme="minorHAnsi"/>
          <w:sz w:val="22"/>
          <w:szCs w:val="22"/>
        </w:rPr>
        <w:t xml:space="preserve"> w upadłości w banku Santander Bank Polska S.A. o numerze: </w:t>
      </w:r>
      <w:r w:rsidR="00AF2C94" w:rsidRPr="00AF2C94">
        <w:rPr>
          <w:rFonts w:asciiTheme="minorHAnsi" w:eastAsia="TimesNewRoman" w:hAnsiTheme="minorHAnsi" w:cstheme="minorHAnsi"/>
          <w:sz w:val="22"/>
          <w:szCs w:val="22"/>
        </w:rPr>
        <w:t>91 1090 2590 0000 0001 4449 8192</w:t>
      </w:r>
      <w:r w:rsidRPr="008B5208">
        <w:rPr>
          <w:rFonts w:asciiTheme="minorHAnsi" w:eastAsia="TimesNewRoman" w:hAnsiTheme="minorHAnsi" w:cstheme="minorHAnsi"/>
          <w:sz w:val="22"/>
          <w:szCs w:val="22"/>
        </w:rPr>
        <w:t xml:space="preserve">, z dopiskiem „Wadium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 sygn. akt. X</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DE490C">
        <w:rPr>
          <w:rFonts w:asciiTheme="minorHAnsi" w:eastAsia="TimesNewRoman" w:hAnsiTheme="minorHAnsi" w:cstheme="minorHAnsi"/>
          <w:sz w:val="22"/>
          <w:szCs w:val="22"/>
        </w:rPr>
        <w:t>78</w:t>
      </w:r>
      <w:r w:rsidRPr="008B5208">
        <w:rPr>
          <w:rFonts w:asciiTheme="minorHAnsi" w:eastAsia="TimesNewRoman" w:hAnsiTheme="minorHAnsi" w:cstheme="minorHAnsi"/>
          <w:sz w:val="22"/>
          <w:szCs w:val="22"/>
        </w:rPr>
        <w:t>/</w:t>
      </w:r>
      <w:r w:rsidR="00DE490C">
        <w:rPr>
          <w:rFonts w:asciiTheme="minorHAnsi" w:eastAsia="TimesNewRoman" w:hAnsiTheme="minorHAnsi" w:cstheme="minorHAnsi"/>
          <w:sz w:val="22"/>
          <w:szCs w:val="22"/>
        </w:rPr>
        <w:t>20</w:t>
      </w:r>
      <w:r w:rsidRPr="008B520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rachunek bankowy.</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41F8343A"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455AAA" w:rsidRPr="00903A0D">
        <w:rPr>
          <w:rFonts w:ascii="Calibri" w:hAnsi="Calibri"/>
          <w:sz w:val="22"/>
          <w:szCs w:val="22"/>
        </w:rPr>
        <w:t>, o godz. 15:00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w:t>
      </w:r>
      <w:r w:rsidRPr="00903A0D">
        <w:rPr>
          <w:rFonts w:ascii="Calibri" w:hAnsi="Calibri"/>
          <w:sz w:val="22"/>
          <w:szCs w:val="22"/>
        </w:rPr>
        <w:lastRenderedPageBreak/>
        <w:t>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7E4BC23"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Po stwierdzeniu, iż złożona oferta/oferty spełniają warunki formalne przewidziane powyżej, syndyk ustala wysokość złożonych ofert. Jeśli tylko jedna oferta spełnia wymogi formalne, w tym co do ceny minimalnej oraz wpłaty wadium, syndyk dokonuje wyboru tego oferenta</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01AD88A2"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cenę wywoławczą będzie stanowić najwyższa cena zaoferowana za </w:t>
      </w:r>
      <w:r>
        <w:rPr>
          <w:rFonts w:asciiTheme="minorHAnsi" w:hAnsiTheme="minorHAnsi" w:cstheme="minorHAnsi"/>
          <w:sz w:val="22"/>
          <w:szCs w:val="22"/>
        </w:rPr>
        <w:t xml:space="preserve">poszczególne </w:t>
      </w:r>
      <w:r w:rsidRPr="008B5208">
        <w:rPr>
          <w:rFonts w:asciiTheme="minorHAnsi" w:hAnsiTheme="minorHAnsi" w:cstheme="minorHAnsi"/>
          <w:sz w:val="22"/>
          <w:szCs w:val="22"/>
        </w:rPr>
        <w:t>nieruchomoś</w:t>
      </w:r>
      <w:r>
        <w:rPr>
          <w:rFonts w:asciiTheme="minorHAnsi" w:hAnsiTheme="minorHAnsi" w:cstheme="minorHAnsi"/>
          <w:sz w:val="22"/>
          <w:szCs w:val="22"/>
        </w:rPr>
        <w:t>ci</w:t>
      </w:r>
      <w:r w:rsidRPr="008B5208">
        <w:rPr>
          <w:rFonts w:asciiTheme="minorHAnsi" w:hAnsiTheme="minorHAnsi" w:cstheme="minorHAnsi"/>
          <w:sz w:val="22"/>
          <w:szCs w:val="22"/>
        </w:rPr>
        <w:t xml:space="preserve"> będąc</w:t>
      </w:r>
      <w:r>
        <w:rPr>
          <w:rFonts w:asciiTheme="minorHAnsi" w:hAnsiTheme="minorHAnsi" w:cstheme="minorHAnsi"/>
          <w:sz w:val="22"/>
          <w:szCs w:val="22"/>
        </w:rPr>
        <w:t>e</w:t>
      </w:r>
      <w:r w:rsidRPr="008B5208">
        <w:rPr>
          <w:rFonts w:asciiTheme="minorHAnsi" w:hAnsiTheme="minorHAnsi" w:cstheme="minorHAnsi"/>
          <w:sz w:val="22"/>
          <w:szCs w:val="22"/>
        </w:rPr>
        <w:t xml:space="preserve"> przedmiotem niniejszego </w:t>
      </w:r>
      <w:r>
        <w:rPr>
          <w:rFonts w:asciiTheme="minorHAnsi" w:hAnsiTheme="minorHAnsi" w:cstheme="minorHAnsi"/>
          <w:sz w:val="22"/>
          <w:szCs w:val="22"/>
        </w:rPr>
        <w:t>postępowania</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syndyk wybiera ofertę uczestnika licytacji (udziela przybicia), który zaoferował najwyższą cenę, której po dwukrotnym powtórzeniu przez prowadzącego nikt z </w:t>
      </w:r>
      <w:r w:rsidRPr="008B5208">
        <w:rPr>
          <w:rFonts w:asciiTheme="minorHAnsi" w:hAnsiTheme="minorHAnsi" w:cstheme="minorHAnsi"/>
          <w:sz w:val="22"/>
          <w:szCs w:val="22"/>
        </w:rPr>
        <w:lastRenderedPageBreak/>
        <w:t>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7416D5B1"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3 miesięcy od dnia wyboru oferty przez </w:t>
      </w:r>
      <w:r w:rsidR="00455AAA" w:rsidRPr="00903A0D">
        <w:rPr>
          <w:rFonts w:ascii="Calibri" w:hAnsi="Calibri"/>
          <w:sz w:val="22"/>
          <w:szCs w:val="22"/>
        </w:rPr>
        <w:t xml:space="preserve">syndyka </w:t>
      </w:r>
      <w:r w:rsidRPr="00903A0D">
        <w:rPr>
          <w:rFonts w:ascii="Calibri" w:hAnsi="Calibri"/>
          <w:sz w:val="22"/>
          <w:szCs w:val="22"/>
        </w:rPr>
        <w:t>zawrzeć umowę sprzedaży w formie aktu notarialnego,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09EEC8B9"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umowy sprzedaży w formie aktu notarialnego</w:t>
      </w:r>
      <w:bookmarkEnd w:id="0"/>
      <w:r w:rsidRPr="00903A0D">
        <w:rPr>
          <w:rFonts w:ascii="Calibri" w:hAnsi="Calibri"/>
          <w:sz w:val="22"/>
          <w:szCs w:val="22"/>
        </w:rPr>
        <w:t xml:space="preserve"> 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niniejszego regulaminu sprzedaży</w:t>
      </w:r>
      <w:r w:rsidRPr="00903A0D">
        <w:rPr>
          <w:rFonts w:ascii="Calibri" w:hAnsi="Calibri"/>
          <w:sz w:val="22"/>
          <w:szCs w:val="22"/>
        </w:rPr>
        <w:t>, wadium wpłacone przez oferenta ulega przepadkowi na rzecz masy upadłości.</w:t>
      </w:r>
    </w:p>
    <w:p w14:paraId="65C608D4"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Potrącenie wierzytelności przysługującej Kupującemu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45E6FE3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xml:space="preserve">. 535 z poz. zm.) oraz </w:t>
      </w:r>
      <w:r w:rsidRPr="00903A0D">
        <w:rPr>
          <w:rFonts w:ascii="Calibri" w:hAnsi="Calibri"/>
          <w:sz w:val="22"/>
          <w:szCs w:val="22"/>
        </w:rPr>
        <w:lastRenderedPageBreak/>
        <w:t>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296D" w14:textId="77777777" w:rsidR="00E17339" w:rsidRDefault="00E17339">
      <w:r>
        <w:separator/>
      </w:r>
    </w:p>
  </w:endnote>
  <w:endnote w:type="continuationSeparator" w:id="0">
    <w:p w14:paraId="1851CDA7" w14:textId="77777777" w:rsidR="00E17339" w:rsidRDefault="00E1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AFF" w:usb1="C0007843"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BDF2" w14:textId="77777777" w:rsidR="00E17339" w:rsidRDefault="00E17339">
      <w:r>
        <w:separator/>
      </w:r>
    </w:p>
  </w:footnote>
  <w:footnote w:type="continuationSeparator" w:id="0">
    <w:p w14:paraId="71C3D210" w14:textId="77777777" w:rsidR="00E17339" w:rsidRDefault="00E17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5724"/>
    <w:rsid w:val="001919BD"/>
    <w:rsid w:val="0019235C"/>
    <w:rsid w:val="00192917"/>
    <w:rsid w:val="001A2FBA"/>
    <w:rsid w:val="001A475C"/>
    <w:rsid w:val="001A5D2B"/>
    <w:rsid w:val="001A7775"/>
    <w:rsid w:val="001A7D87"/>
    <w:rsid w:val="001B40BF"/>
    <w:rsid w:val="001B57AE"/>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4841"/>
    <w:rsid w:val="00307963"/>
    <w:rsid w:val="0031139C"/>
    <w:rsid w:val="00311FAC"/>
    <w:rsid w:val="00315A8B"/>
    <w:rsid w:val="003166C9"/>
    <w:rsid w:val="003202F4"/>
    <w:rsid w:val="00323CEF"/>
    <w:rsid w:val="0032583E"/>
    <w:rsid w:val="00330D28"/>
    <w:rsid w:val="00330F1A"/>
    <w:rsid w:val="00336D20"/>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1B74"/>
    <w:rsid w:val="007953A9"/>
    <w:rsid w:val="007A08C4"/>
    <w:rsid w:val="007A231F"/>
    <w:rsid w:val="007B5145"/>
    <w:rsid w:val="007B727F"/>
    <w:rsid w:val="007C1B4B"/>
    <w:rsid w:val="007C2EE1"/>
    <w:rsid w:val="007C59CE"/>
    <w:rsid w:val="007D5F53"/>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51C8E"/>
    <w:rsid w:val="009562F2"/>
    <w:rsid w:val="00957009"/>
    <w:rsid w:val="009579A9"/>
    <w:rsid w:val="009619D9"/>
    <w:rsid w:val="00963DD5"/>
    <w:rsid w:val="009715FF"/>
    <w:rsid w:val="00971D4B"/>
    <w:rsid w:val="00975D71"/>
    <w:rsid w:val="00976DA1"/>
    <w:rsid w:val="00983928"/>
    <w:rsid w:val="00986C78"/>
    <w:rsid w:val="009912A6"/>
    <w:rsid w:val="00991938"/>
    <w:rsid w:val="00992A14"/>
    <w:rsid w:val="00994220"/>
    <w:rsid w:val="00997135"/>
    <w:rsid w:val="00997D8B"/>
    <w:rsid w:val="009A0D08"/>
    <w:rsid w:val="009A1EAC"/>
    <w:rsid w:val="009A4516"/>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C298F"/>
    <w:rsid w:val="00EC518F"/>
    <w:rsid w:val="00EC7362"/>
    <w:rsid w:val="00ED2A6E"/>
    <w:rsid w:val="00ED3640"/>
    <w:rsid w:val="00ED5F2D"/>
    <w:rsid w:val="00EE055A"/>
    <w:rsid w:val="00EF4776"/>
    <w:rsid w:val="00EF50BC"/>
    <w:rsid w:val="00EF7287"/>
    <w:rsid w:val="00EF7EAB"/>
    <w:rsid w:val="00F07F4E"/>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226B"/>
    <w:rsid w:val="00F8399C"/>
    <w:rsid w:val="00F874E4"/>
    <w:rsid w:val="00F96292"/>
    <w:rsid w:val="00FA006C"/>
    <w:rsid w:val="00FA17F7"/>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11188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3</cp:revision>
  <cp:lastPrinted>2021-04-29T13:54:00Z</cp:lastPrinted>
  <dcterms:created xsi:type="dcterms:W3CDTF">2021-04-29T13:54:00Z</dcterms:created>
  <dcterms:modified xsi:type="dcterms:W3CDTF">2021-04-29T13:54:00Z</dcterms:modified>
</cp:coreProperties>
</file>